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hAnsi="Calibri" w:eastAsia="Times New Roman" w:cs="Times New Roman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</w:p>
        </w:tc>
      </w:tr>
    </w:tbl>
    <w:p>
      <w:pPr>
        <w:spacing w:after="0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>
        <w:tblPrEx/>
        <w:trPr/>
        <w:tc>
          <w:tcPr>
            <w:tcW w:w="43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40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ОП.02 Организация хранения и контроль запасов сырья </w:t>
      </w:r>
      <w:r>
        <w:rPr>
          <w:rFonts w:ascii="Times New Roman" w:hAnsi="Times New Roman" w:eastAsia="Times New Roman" w:cs="Times New Roman"/>
          <w:b/>
          <w:sz w:val="4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для ППССЗ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43.02.15 Поварское и кондитерское дело 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Челябинск, </w:t>
      </w:r>
      <w:r>
        <w:rPr>
          <w:rFonts w:ascii="Times New Roman" w:hAnsi="Times New Roman" w:eastAsia="Times New Roman" w:cs="Times New Roman"/>
          <w:iCs/>
          <w:color w:val="ff0000"/>
          <w:sz w:val="28"/>
          <w:szCs w:val="28"/>
          <w:lang w:eastAsia="ru-RU"/>
        </w:rPr>
        <w:t xml:space="preserve">202</w:t>
      </w:r>
      <w:r>
        <w:rPr>
          <w:rFonts w:ascii="Times New Roman" w:hAnsi="Times New Roman" w:eastAsia="Times New Roman" w:cs="Times New Roman"/>
          <w:iCs/>
          <w:color w:val="ff0000"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  <w:br w:type="page" w:clear="all"/>
      </w:r>
      <w:bookmarkStart w:id="0" w:name="_Toc289211447"/>
      <w:r/>
      <w:bookmarkStart w:id="1" w:name="_Toc289211498"/>
      <w:r/>
      <w:bookmarkStart w:id="2" w:name="_Toc289628529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7766"/>
        <w:gridCol w:w="1805"/>
      </w:tblGrid>
      <w:tr>
        <w:tblPrEx/>
        <w:trPr/>
        <w:tc>
          <w:tcPr>
            <w:shd w:val="clear" w:color="auto" w:fill="auto"/>
            <w:tcW w:w="4057" w:type="pct"/>
            <w:textDirection w:val="lrTb"/>
            <w:noWrap w:val="false"/>
          </w:tcPr>
          <w:p>
            <w:pPr>
              <w:ind w:left="284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943" w:type="pct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стр.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4057" w:type="pc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t xml:space="preserve">Общая характеристика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</w:r>
          </w:p>
          <w:p>
            <w:pPr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943" w:type="pct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457"/>
        </w:trPr>
        <w:tc>
          <w:tcPr>
            <w:shd w:val="clear" w:color="auto" w:fill="auto"/>
            <w:tcW w:w="4057" w:type="pc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t xml:space="preserve"> Структура и содержание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  <w:p>
            <w:pPr>
              <w:ind w:left="644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943" w:type="pct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0"/>
        </w:trPr>
        <w:tc>
          <w:tcPr>
            <w:shd w:val="clear" w:color="auto" w:fill="auto"/>
            <w:tcW w:w="4057" w:type="pc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t xml:space="preserve">условия реализации  программы учебной дисциплины </w:t>
            </w: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</w:r>
          </w:p>
          <w:p>
            <w:pPr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943" w:type="pct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4057" w:type="pc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  <w:t xml:space="preserve">Контроль и оценка результатов Освоения учебной дисциплины </w:t>
            </w:r>
            <w:r>
              <w:rPr>
                <w:rFonts w:ascii="Times New Roman" w:hAnsi="Times New Roman" w:eastAsia="Times New Roman" w:cs="Times New Roman"/>
                <w:b/>
                <w:caps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943" w:type="pct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bookmarkEnd w:id="0"/>
      <w:bookmarkEnd w:id="1"/>
      <w:bookmarkEnd w:id="2"/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</w:p>
    <w:p>
      <w:pPr>
        <w:jc w:val="right"/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1. ОБЩАЯ ХАРАКТЕРИСТИКА  ПРОГРАММЫ УЧЕБНОЙ ДИСЦИПЛИНЫ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1.1. Область применения программы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ind w:firstLine="567"/>
        <w:jc w:val="both"/>
        <w:spacing w:after="0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 в соответствии с ФГОС СПО по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43.02.15 Поварское и кондитерское дело (утвержденного Приказом Министерство Просвещения России от 09.12.2016 N 1565 (ред. от 03.07.2024).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firstLine="567"/>
        <w:jc w:val="both"/>
        <w:spacing w:after="0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Рабочая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дисциплина относится к общепрофе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03 Техническое оснащение организаций питания, ОП.01 Микробиология, физиология питания, санитария.</w:t>
      </w: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1.3. Цель и планируемые результаты освоения дисциплины: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результате освоения дисциплины обучающийся должен уметь: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-  определять наличие запасов и расход продуктов;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оценивать условия хранения и состояние продуктов и запасов;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проводить инструктажи по безопасности хранения пищевых продуктов;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принимать решения по организации процессов контроля расхода и хранения продуктов;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оформлять технологическую документацию и документацию по контролю расхода и хранения продуктов, в том числе с использованием специализированного программного обеспечения.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результате освоения дисциплины обучающийся должен знать: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-  ассортимент и характеристики основных групп продовольственных товаров;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общие требования к качеству сырья и продуктов;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условия хранения, упаковки, транспортирования и реализации различных видов продовольственных продуктов;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методы контроля качества продуктов при хранении;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способы и формы инструктирования персонала по безопасности хранения пищевых продуктов;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виды снабжения;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виды складских помещений и требования к ним;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периодичность технического обслуживания холодильного, механического и весового оборудования;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-методы контроля сохранности и расхода продуктов на производствах питания;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программное обеспечение управления расходом продуктов на производстве и движением блюд;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современные способы обеспечения правильной сохранности запасов и расхода продуктов на производстве;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методы контроля возможных хищений запасов на производстве;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правила оценки состояния запасов на производстве;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процедуры и правила инвентаризации запасов продуктов;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spacing w:after="0"/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− правила оформления заказа на продукты со склада и приема продуктов, поступающих со склада и от поставщиков; </w:t>
      </w: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</w:r>
    </w:p>
    <w:p>
      <w:pPr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color w:val="000000"/>
          <w:sz w:val="23"/>
          <w:szCs w:val="23"/>
          <w:lang w:eastAsia="ru-RU"/>
        </w:rPr>
        <w:t xml:space="preserve">-</w:t>
      </w:r>
      <w:r>
        <w:rPr>
          <w:rFonts w:ascii="Times New Roman" w:hAnsi="Times New Roman" w:cs="Times New Roman" w:eastAsiaTheme="minorEastAsia"/>
          <w:sz w:val="23"/>
          <w:szCs w:val="23"/>
          <w:lang w:eastAsia="ru-RU"/>
        </w:rPr>
        <w:t xml:space="preserve">виды сопроводительной документации на различные группы продуктов.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осваивает элементы компетенций: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Наименование общих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1.1.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Осуществлять обработку, подготовку экзотических и редких видов сырья: овощей, грибов, рыбы, нерыбного водного сырья, дичи.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Осуществлять приготовление, непродолжительное хранение горячих соусов сложного ассортимента.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3.1.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3.2.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4.1.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4.2.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5.2.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Осуществлять приготовление, хранение отделочных полуфабрикатов для хлебобулочных, мучных кондитерских изделий.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6.5.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95"/>
              <w:spacing w:after="300"/>
              <w:shd w:val="clear" w:color="auto" w:fill="ffffff"/>
            </w:pPr>
            <w:r>
              <w:t xml:space="preserve">Осуществлять инструктирование, обучение поваров, кондитеров, пекарей и других категорий работников кухни на рабочем месте.</w:t>
            </w:r>
            <w:r/>
          </w:p>
        </w:tc>
      </w:tr>
    </w:tbl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04. Эффективно взаимодействовать и работать в коллективе и команде;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06. Проявлять гражданск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чрезвычайных ситуациях;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/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/>
      <w:bookmarkStart w:id="3" w:name="_GoBack"/>
      <w:r/>
      <w:bookmarkEnd w:id="3"/>
      <w:r/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tbl>
      <w:tblPr>
        <w:tblW w:w="4507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944"/>
      </w:tblGrid>
      <w:tr>
        <w:tblPrEx/>
        <w:trPr>
          <w:trHeight w:val="490"/>
        </w:trPr>
        <w:tc>
          <w:tcPr>
            <w:shd w:val="clear" w:color="auto" w:fill="auto"/>
            <w:tcW w:w="4453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453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453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val="en-US" w:eastAsia="ru-RU"/>
              </w:rPr>
              <w:t xml:space="preserve">80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W w:w="5000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 том числе: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453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453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лабораторные занятия (если предусмотрено)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453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практические занятия (если предусмотрено)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64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453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курсовая работа (проект) (если предусмотрено)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4453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Контрольная работа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W w:w="5000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комплексного </w:t>
            </w:r>
            <w:r>
              <w:rPr>
                <w:rFonts w:ascii="Times New Roman" w:hAnsi="Times New Roman" w:cs="Times New Roman" w:eastAsiaTheme="minorEastAsia"/>
                <w:i/>
                <w:iCs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cs="Times New Roman" w:eastAsiaTheme="minorEastAsia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r>
    </w:p>
    <w:tbl>
      <w:tblPr>
        <w:tblW w:w="5037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57"/>
        <w:gridCol w:w="6704"/>
        <w:gridCol w:w="2792"/>
        <w:gridCol w:w="1582"/>
        <w:gridCol w:w="1720"/>
      </w:tblGrid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18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90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Осваиваемые элементы компетенций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Раздел 1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360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Основные группы  продовольственных товаров</w:t>
            </w:r>
            <w:r>
              <w:rPr>
                <w:rFonts w:ascii="Times New Roman" w:hAnsi="Times New Roman" w:cs="Times New Roman" w:eastAsiaTheme="minorEastAsia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1.1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Классификация продовольственных товаров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1-9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ПК 1.1, 2.1, 3.1, 4.1, 5.1,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796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Классификация продовольственных товаров. Общие требования к качеству продовольственных товаров.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</w:rPr>
              <w:t xml:space="preserve">Тематика практических занятий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2-3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Практическая работа.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Подтверждение соответствия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качества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продовольственных товаров. Маркировка потребительских товаров.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-5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Практическая работа.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Методы определения качества и безопасности. Способы и формы инструктирования персонала по безопасности хранения пищевых продуктов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Товароведная характеристика свежих овощей, плодов, грибов и продуктов их переработки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64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Ассортимен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т, товароведная характеристика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свежих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овощей, плодов, грибов и продуктов их переработки.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и сроки хранения, кулинарное назначение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7-8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-9-10.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Лабораторная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Органолептическая оценка качества свежих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овощей, плодов, грибов и продуктов их переработки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ПК 1.1, 2.1, 3.1, 4.1, 5.1, 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1.3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Товароведная характеристика зерновых товаров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63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зерна и продуктов его переработки: круп, муки, макаронных изделий, хлеба и хлебобулочных изделий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Условия и сроки хранения, кулинарное назначение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1-7,9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-15.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Органолептическая оценка качества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зерна и продуктов его переработки: круп, муки, макаронных изделий, хлеба и хлебобулочных изделий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1-11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1.4.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Товароведная характеристика молочных товаров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молока и  молочных продуктов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Условия и сроки хранения, кулинарное назначение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молока и  молочных продуктов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,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18-19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-20.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 Органолептическая оценка качества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молока и  молочных продуктов. 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1.5.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Товароведная характеристика рыбы, рыбных продуктов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рыбы, рыбных 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Условия и сроки хранения, кулинарное назначение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рыбы, рыбных продуктов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73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-25.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 Органолептическая оценка качества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рыбы, рыбных продуктов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1.6.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Товароведная характеристика мяса, мясных продуктов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42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мяса, мясных 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Условия и сроки хранения, кулинарное назначение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мяса, мясных продуктов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9, 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2.1, 3.1, 4.1, 5.1, 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29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-30.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Лабораторная работа.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мяса, мясных продуктов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3.1, 4.1, 5.1, 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1.7.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Товароведная характеристика яичных продуктов, пищевых жиров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14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яичных продуктов, пищевых жиров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Условия и сроки хранения, кулинарное назначение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яичных продуктов, пищевых жиров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 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-35.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 Органолептическая оценка качества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яичных продуктов, пищевых жиров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1.8.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Товароведная характеристика кондитерских и вкусовых товаров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04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Ассортимент, товароведная характеристика, общие требования к качеству кондитерских и вкусовых товаров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Условия и сроки хранения, кулинарное назначение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кондитерских и вкусовых товаров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37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38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39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-40.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 Органолептическая оценка качества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кондитерских и вкусовых товаров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Раздел 2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360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Организация снабжения   и складского хозяйства предприятия общественного питания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2.1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ru-RU"/>
              </w:rPr>
              <w:t xml:space="preserve">Организация продовольственного и материально-технического снабжения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263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41.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Виды снабжения. Источники снабжения и поставщики предприятий.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.Организация складского хозяйства: понятие, виды, назначение, компоновка складских помещений.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0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43.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Техническое оснащение складских помещений для приемки, хранения и отпуска продуктов.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44-45-46-47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Заполнение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товарно-сопров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одительных документов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(накладные, сертификаты, удостоверения качества и др.).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48-49-50-51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Критерии выбора поставщиков. Организация договорных отношений с поставщиками.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71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52-53-54-55.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Составление договора поставки на продовольственные товары. 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56-57-58-59.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 Подбор технического оснащения складских помещений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2.2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Приемка различных видов продовольственных товаров и других товарно-материальных ценностей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852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60.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Правила приема продовольственных товаров и других товарно-материальных ценностей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Товарные запасы.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61-62-63-64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Практическое занятие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 Освоение п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орядка работы с учетными документами по приему продовольственных товаров.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404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2.3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ru-RU"/>
              </w:rPr>
              <w:t xml:space="preserve">Организация хранения различных видов продовольственных товаров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84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65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.Способы и режимы хранения и укладки различных групп продовольственных товаров.   Нормируемые и ненормируемые потери</w:t>
            </w:r>
            <w:r>
              <w:rPr>
                <w:rFonts w:ascii="Times New Roman" w:hAnsi="Times New Roman" w:cs="Times New Roman" w:eastAsiaTheme="minorEastAsia"/>
                <w:bCs/>
                <w:color w:val="ff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Значение упаковки для сохранения качества  продовольственных товаров и продуктов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69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  <w:r>
              <w:rPr>
                <w:rFonts w:ascii="Times New Roman" w:hAnsi="Times New Roman" w:cs="Times New Roman" w:eastAsiaTheme="minorEastAsia"/>
                <w:b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66-67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Способы и формы инструктирования персонала об ответственности за безопасное хранение продуктов</w:t>
            </w:r>
            <w:r>
              <w:rPr>
                <w:rFonts w:ascii="Times New Roman" w:hAnsi="Times New Roman" w:cs="Times New Roman" w:eastAsiaTheme="minorEastAsia"/>
                <w:b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125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68-69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-70-71.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Практическое занятие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Расчеты потерь в результате естественной убыли продуктов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2.4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Отпуск сырья и продуктов на производство, в филиалы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1114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72.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Правила оформления заказа на продукты со  склада. Правила отпуска сырья и продуктов на производство. 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Порядок заполнения документов на отпуск сырья, продуктов, полуфабрикатов со склада на производство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  <w:r>
              <w:rPr>
                <w:rFonts w:ascii="Times New Roman" w:hAnsi="Times New Roman" w:cs="Times New Roman" w:eastAsiaTheme="minorEastAsia"/>
                <w:b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73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-74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. Практическое занятие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Оформление заказа на сырье  и продукты со склада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9"/>
        </w:trPr>
        <w:tc>
          <w:tcPr>
            <w:shd w:val="clear" w:color="auto" w:fill="auto"/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 2.5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  <w:t xml:space="preserve">Контроль сохранности и расхода продуктов на предприятиях питания</w:t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ПК 1.1, 2.1, 3.1, 4.1, 5.1, 6.3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930"/>
        </w:trPr>
        <w:tc>
          <w:tcPr>
            <w:shd w:val="clear" w:color="auto" w:fill="auto"/>
            <w:tcBorders>
              <w:bottom w:val="single" w:color="auto" w:sz="4" w:space="0"/>
            </w:tcBorders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30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75.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Современные способы обеспечения контроля хранения запасов и расхода продуктов на производстве. Методы контроля возможных хищений запасов на производстве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51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56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76-77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Организация  и анализ процессов контроля расхода и хранения продуктов. 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78-79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 xml:space="preserve">Практическое занятие.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  <w:t xml:space="preserve">Процедуры и правила инвентаризации запасов  продуктов.</w:t>
            </w:r>
            <w:r>
              <w:rPr>
                <w:rFonts w:ascii="Times New Roman" w:hAnsi="Times New Roman" w:cs="Times New Roman" w:eastAsiaTheme="minorEastAsia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.  Экзамен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8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0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color w:val="ff0000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822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3.  УСЛОВИЯ РЕАЛИЗАЦИИ ПРОГРАММЫ 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Кабинет «ОП дисциплин»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Оборудование учебного кабинета и рабочих мест кабинета: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доска учебная; 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рабочее место для преподавателя; 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рабочие места по количеству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; 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шкафы для хранения муляжей (инвентаря), раздаточного дидактического материала и др.;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Технические средства обучения:  компьютер;  средства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;  наглядные пособия (натуральные образцы, муляжи, плакаты, DVD фильмы, мультимедийные пособия).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3.2. Информационное обеспечение обучения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  <w:t xml:space="preserve">Перечень используемых учебных изданий, Интернет-ресурсов, дополнительной литературы</w:t>
      </w: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  <w:t xml:space="preserve">Основные источники (печатные  и электронные издания):</w:t>
      </w: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r>
    </w:p>
    <w:p>
      <w:pPr>
        <w:pStyle w:val="788"/>
        <w:numPr>
          <w:ilvl w:val="0"/>
          <w:numId w:val="25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Николаева, М. А. Хранение продовольственных товаров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М. А. Николаева, Г. Я.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Резго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Москва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ФОРУМ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ИНФРА-М, 2019. - 303 с. - (Высшее образование). - ISBN 978-5-8199-0437-4. - Текст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электронный. - URL: https://znanium.com/catalog/product/1013508 (дата обращения: 01.10.2021). – Режим доступа: по подписке.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Нормативные документы: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pStyle w:val="788"/>
        <w:numPr>
          <w:ilvl w:val="1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  <w:tab w:val="clear" w:pos="1440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Российская Федерация. Законы.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федер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закон: [принят Гос.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Думой  1 дек.1999 г.: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одобр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Советом Федерации 23 дек. 1999 г.: в ред. на 13.07.2015г. № 213-ФЗ].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r:id="rId12" w:tooltip="http://pravo.gov.ru/proxy/ips/?docbody=&amp;nd=102063865&amp;rdk=&amp;backlink=1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http://pravo.gov.ru/proxy/ips/?docbody=&amp;nd=102063865&amp;rdk=&amp;backlink=1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3" w:tooltip="http://ozpp.ru/laws2/postan/post7.html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http://ozpp.ru/laws2/postan/post7.html</w:t>
        </w:r>
      </w:hyperlink>
      <w:r/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2015-01-01.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8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2016-01-01.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48 с.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2015-01-01. - 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10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2016 – 01 – 01.- 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12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2016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12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 –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11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iCs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16 с. </w:t>
      </w:r>
      <w:r>
        <w:rPr>
          <w:rFonts w:ascii="Times New Roman" w:hAnsi="Times New Roman" w:eastAsia="Times New Roman" w:cs="Times New Roman"/>
          <w:iCs/>
          <w:spacing w:val="-8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2015 – 01 – 01. – М.: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2014. – </w:t>
      </w:r>
      <w:r>
        <w:rPr>
          <w:rFonts w:ascii="Times New Roman" w:hAnsi="Times New Roman" w:eastAsia="Times New Roman" w:cs="Times New Roman"/>
          <w:iCs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10 с.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2003 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№ 98.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keepNext/>
        <w:spacing w:after="0"/>
        <w:shd w:val="clear" w:color="auto" w:fill="ffffff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           </w:t>
      </w:r>
      <w:hyperlink r:id="rId14" w:tooltip="http://www.ohranatruda.ru/ot_biblio/normativ/data_normativ/46/46201/" w:history="1">
        <w:r>
          <w:rPr>
            <w:rFonts w:ascii="Times New Roman" w:hAnsi="Times New Roman" w:eastAsia="Times New Roman" w:cs="Times New Roman"/>
            <w:color w:val="0000ff"/>
            <w:sz w:val="24"/>
            <w:szCs w:val="20"/>
            <w:u w:val="single"/>
            <w:lang w:eastAsia="ru-RU"/>
          </w:rPr>
          <w:t xml:space="preserve">http://www.ohranatruda.ru/ot_biblio/normativ/data_normativ/46/46201/</w:t>
        </w:r>
      </w:hyperlink>
      <w:r/>
      <w:r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</w:r>
    </w:p>
    <w:p>
      <w:pPr>
        <w:numPr>
          <w:ilvl w:val="0"/>
          <w:numId w:val="25"/>
        </w:numPr>
        <w:ind w:left="0" w:firstLine="567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1.1.1058-0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2001 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№ 18 [в редакции СП 1.1.2193-07 «Дополнения № 1»]. – Режим доступа: http://www.fabrikabiz.ru/1002/4/0.php-show_art=2758.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keepNext/>
        <w:spacing w:after="0"/>
        <w:shd w:val="clear" w:color="auto" w:fill="ffffff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          </w:t>
      </w:r>
      <w:hyperlink r:id="rId15" w:tooltip="http://www.ohranatruda.ru/ot_biblio/normativ/data_normativ/46/46201/" w:history="1">
        <w:r>
          <w:rPr>
            <w:rFonts w:ascii="Times New Roman" w:hAnsi="Times New Roman" w:eastAsia="Times New Roman" w:cs="Times New Roman"/>
            <w:color w:val="0000ff"/>
            <w:sz w:val="24"/>
            <w:szCs w:val="20"/>
            <w:u w:val="single"/>
            <w:lang w:eastAsia="ru-RU"/>
          </w:rPr>
          <w:t xml:space="preserve">http://www.ohranatruda.ru/ot_biblio/normativ/data_normativ/46/46201/</w:t>
        </w:r>
      </w:hyperlink>
      <w:r/>
      <w:r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</w:r>
    </w:p>
    <w:p>
      <w:pPr>
        <w:numPr>
          <w:ilvl w:val="0"/>
          <w:numId w:val="25"/>
        </w:numPr>
        <w:ind w:left="0"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оборотоспособности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2001 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№ 31 [в редакции СП 2.3.6. 2867-11 «Изменения и дополнения» № 4»]. – Режим доступа: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eastAsia="ru-RU"/>
        </w:rPr>
      </w:pPr>
      <w:r/>
      <w:hyperlink r:id="rId16" w:tooltip="http://ohranatruda.ru/ot_biblio/normativ/data_normativ/9/9744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http://ohranatruda.ru/ot_biblio/normativ/data_normativ/9/9744/</w:t>
        </w:r>
      </w:hyperlink>
      <w:r/>
      <w:r>
        <w:rPr>
          <w:rFonts w:ascii="Times New Roman" w:hAnsi="Times New Roman" w:eastAsia="Times New Roman" w:cs="Times New Roman"/>
          <w:color w:val="0000ff"/>
          <w:sz w:val="24"/>
          <w:szCs w:val="24"/>
          <w:u w:val="single"/>
          <w:lang w:eastAsia="ru-RU"/>
        </w:rPr>
      </w:r>
    </w:p>
    <w:p>
      <w:pPr>
        <w:numPr>
          <w:ilvl w:val="0"/>
          <w:numId w:val="24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4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4"/>
        </w:numPr>
        <w:ind w:left="0" w:firstLine="567"/>
        <w:jc w:val="both"/>
        <w:spacing w:after="0" w:line="240" w:lineRule="auto"/>
        <w:tabs>
          <w:tab w:val="num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Профессиональный стандарт «Кондитер/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Шоколатье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58" w:firstLine="567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18.  </w:t>
      </w:r>
      <w:r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  <w:t xml:space="preserve">Справочник «Нормативные документы для индустрии питания», ИГ Ресторанные ведомости, 2012</w:t>
      </w:r>
      <w:r>
        <w:rPr>
          <w:rFonts w:ascii="Times New Roman" w:hAnsi="Times New Roman" w:eastAsia="Times New Roman" w:cs="Times New Roman"/>
          <w:bCs/>
          <w:sz w:val="24"/>
          <w:szCs w:val="20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19. 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В.А.Тутельяна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ДеЛи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принт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2015.- 544с.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20. 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В.А.Тутельяна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ДеЛи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плюс, 2013.- 808с.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  <w:t xml:space="preserve">Дополнительные источники (печатные издания)</w:t>
      </w:r>
      <w:r>
        <w:rPr>
          <w:rFonts w:ascii="Times New Roman" w:hAnsi="Times New Roman" w:cs="Times New Roman" w:eastAsiaTheme="minorEastAsia"/>
          <w:b/>
          <w:bCs/>
          <w:i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42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 Волков Ю.Ф. Интерьер и оборудование гостиниц и ресторанов: учеб. пособие для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высш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учеб. заведений /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Ю.Ф.Волков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3-е изд. - Ростов н/Д: Феникс, 2005. – 350, [1] с.: ил. – (Высшее образование).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Золин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учебник для нач.. проф. образования /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В.П.Золин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 - М.: Академия, 2010. – 320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42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 Матюхина З.П. Товароведение пищевых продуктов: учебник для нач. проф. образования /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З.П.Матюхина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 М.: Академия, 2010. – 336 с., [16] с.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цв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ил.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42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 Радченко Л.А.  Организация производства на предприятиях общественного питания: учеб. Пособие для сред. Проф. Образования /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Л.А.Радченко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– Изд. 10-е,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и доп. – Ростов н/Д: Феникс, 2010 – 372 с. – (Среднее профессиональное образование).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5. Карташова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Л.В.Сборник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ситуационных задач и деловых игр по товароведению продовольственных товаров, М:Издательский дом «Деловая культура»,2004г с13-138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Мрыхина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Е.Б. Организация производства на предприятиях общественного питания: учеб. пособие для сред. проф. образования / Е.Б.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Мрыхина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. - М.: ФОРУМ: ИНФРА-М, 2008. – 176 с.: ил. – (Профессиональное образование).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 Панова Л.А.  Организация производства на предприятиях общественного питания в экзаменационных вопросах и ответах: учеб. пособие / Л.А. Панова. - М.: Дашков и Кº, 2009. – 320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8. Товароведение и экспертиза продовольственных товаров. Лабораторный практикум. В.М. Криштафович. Издательско-торговая корпорация «Дашков и К» М-2009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6"/>
        </w:numPr>
        <w:contextualSpacing/>
        <w:jc w:val="both"/>
        <w:spacing w:after="0" w:line="240" w:lineRule="auto"/>
        <w:tabs>
          <w:tab w:val="left" w:pos="426" w:leader="none"/>
          <w:tab w:val="num" w:pos="851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Журнал – Товароведение продовольственных товаров.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numPr>
          <w:ilvl w:val="0"/>
          <w:numId w:val="26"/>
        </w:numPr>
        <w:contextualSpacing/>
        <w:jc w:val="both"/>
        <w:spacing w:after="0" w:line="240" w:lineRule="auto"/>
        <w:tabs>
          <w:tab w:val="left" w:pos="426" w:leader="none"/>
          <w:tab w:val="num" w:pos="851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Журнал- Пищевая промышленность.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numPr>
          <w:ilvl w:val="0"/>
          <w:numId w:val="26"/>
        </w:numPr>
        <w:contextualSpacing/>
        <w:jc w:val="both"/>
        <w:spacing w:after="0" w:line="240" w:lineRule="auto"/>
        <w:tabs>
          <w:tab w:val="left" w:pos="426" w:leader="none"/>
          <w:tab w:val="num" w:pos="851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Журнал </w:t>
      </w:r>
      <w:r>
        <w:rPr>
          <w:rFonts w:ascii="Times New Roman" w:hAnsi="Times New Roman" w:cs="Times New Roman" w:eastAsiaTheme="minorEastAsia"/>
          <w:bCs/>
          <w:sz w:val="24"/>
          <w:szCs w:val="24"/>
          <w:lang w:val="en-US" w:eastAsia="ru-RU"/>
        </w:rPr>
        <w:t xml:space="preserve">– </w:t>
      </w: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Питание и общество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numPr>
          <w:ilvl w:val="0"/>
          <w:numId w:val="26"/>
        </w:numPr>
        <w:contextualSpacing/>
        <w:jc w:val="both"/>
        <w:spacing w:after="0" w:line="240" w:lineRule="auto"/>
        <w:tabs>
          <w:tab w:val="left" w:pos="426" w:leader="none"/>
          <w:tab w:val="num" w:pos="851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  <w:lang w:eastAsia="ru-RU"/>
        </w:rPr>
        <w:t xml:space="preserve">Журнал - Общепит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contextualSpacing/>
        <w:ind w:left="644" w:right="-1"/>
        <w:jc w:val="center"/>
        <w:shd w:val="clear" w:color="auto" w:fill="ffffff"/>
        <w:rPr>
          <w:rFonts w:ascii="Times New Roman" w:hAnsi="Times New Roman" w:cs="Times New Roman" w:eastAsiaTheme="minorEastAsia"/>
          <w:b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Theme="minorEastAsia"/>
          <w:b/>
          <w:iCs/>
          <w:sz w:val="24"/>
          <w:szCs w:val="24"/>
          <w:lang w:eastAsia="ru-RU"/>
        </w:rPr>
        <w:t xml:space="preserve">Интернет-источники:</w:t>
      </w:r>
      <w:r>
        <w:rPr>
          <w:rFonts w:ascii="Times New Roman" w:hAnsi="Times New Roman" w:cs="Times New Roman" w:eastAsiaTheme="minorEastAsia"/>
          <w:b/>
          <w:iCs/>
          <w:sz w:val="24"/>
          <w:szCs w:val="24"/>
          <w:lang w:eastAsia="ru-RU"/>
        </w:rPr>
      </w:r>
    </w:p>
    <w:p>
      <w:pPr>
        <w:numPr>
          <w:ilvl w:val="1"/>
          <w:numId w:val="26"/>
        </w:numPr>
        <w:contextualSpacing/>
        <w:ind w:left="284" w:hanging="284"/>
        <w:jc w:val="both"/>
        <w:spacing w:after="0" w:line="360" w:lineRule="auto"/>
        <w:shd w:val="clear" w:color="auto" w:fill="ffff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/>
      <w:hyperlink r:id="rId17" w:tooltip="http://www.foodprom.ru/journalswww" w:history="1"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www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foodprom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journalswww</w:t>
        </w:r>
      </w:hyperlink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- издательство - пищевая промышленность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numPr>
          <w:ilvl w:val="1"/>
          <w:numId w:val="26"/>
        </w:numPr>
        <w:contextualSpacing/>
        <w:ind w:left="284" w:hanging="284"/>
        <w:jc w:val="both"/>
        <w:spacing w:after="0" w:line="360" w:lineRule="auto"/>
        <w:shd w:val="clear" w:color="auto" w:fill="ffffff"/>
        <w:tabs>
          <w:tab w:val="num" w:pos="709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hyperlink r:id="rId18" w:tooltip="http://zaita.ru/kachestvo/tovarovedenie-i-ekspertiza-kachestva-potrebitelskix-tovarov.html" w:history="1"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zaita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kachestvo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tovarovedenie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-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i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-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ekspertiza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-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kachestva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-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potrebitelskix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-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tovarov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val="en-US" w:eastAsia="ru-RU"/>
          </w:rPr>
          <w:t xml:space="preserve">html</w:t>
        </w:r>
      </w:hyperlink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 - товароведение и экспертиза качества продовольственных товаров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numPr>
          <w:ilvl w:val="1"/>
          <w:numId w:val="26"/>
        </w:numPr>
        <w:contextualSpacing/>
        <w:ind w:left="426" w:hanging="426"/>
        <w:jc w:val="both"/>
        <w:spacing w:after="0" w:line="360" w:lineRule="auto"/>
        <w:shd w:val="clear" w:color="auto" w:fill="ffffff"/>
        <w:tabs>
          <w:tab w:val="left" w:pos="284" w:leader="none"/>
        </w:tabs>
        <w:rPr>
          <w:rFonts w:ascii="Times New Roman" w:hAnsi="Times New Roman" w:cs="Times New Roman" w:eastAsiaTheme="minorEastAsia"/>
          <w:iCs/>
          <w:sz w:val="24"/>
          <w:szCs w:val="24"/>
          <w:lang w:eastAsia="ru-RU"/>
        </w:rPr>
      </w:pPr>
      <w:r/>
      <w:hyperlink r:id="rId19" w:tooltip="http://www.restoracia.ru" w:history="1"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www.restoracia.ru</w:t>
        </w:r>
      </w:hyperlink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hyperlink r:id="rId20" w:tooltip="http://www.tehdoc.ru/files.675.html" w:history="1"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http://www.tehdoc.ru/files.675.html</w:t>
        </w:r>
      </w:hyperlink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iCs/>
          <w:sz w:val="24"/>
          <w:szCs w:val="24"/>
          <w:lang w:eastAsia="ru-RU"/>
        </w:rPr>
      </w:r>
    </w:p>
    <w:p>
      <w:pPr>
        <w:numPr>
          <w:ilvl w:val="1"/>
          <w:numId w:val="26"/>
        </w:numPr>
        <w:contextualSpacing/>
        <w:ind w:left="426" w:hanging="426"/>
        <w:jc w:val="both"/>
        <w:spacing w:after="0" w:line="360" w:lineRule="auto"/>
        <w:shd w:val="clear" w:color="auto" w:fill="ffffff"/>
        <w:tabs>
          <w:tab w:val="left" w:pos="284" w:leader="none"/>
        </w:tabs>
        <w:rPr>
          <w:rFonts w:ascii="Times New Roman" w:hAnsi="Times New Roman" w:cs="Times New Roman" w:eastAsiaTheme="minorEastAsia"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http://www.gosfinansy.ru/practice/2338/15274/</w:t>
      </w:r>
      <w:r>
        <w:rPr>
          <w:rFonts w:ascii="Times New Roman" w:hAnsi="Times New Roman" w:cs="Times New Roman" w:eastAsiaTheme="minorEastAsia"/>
          <w:iCs/>
          <w:sz w:val="24"/>
          <w:szCs w:val="24"/>
          <w:lang w:eastAsia="ru-RU"/>
        </w:rPr>
      </w:r>
    </w:p>
    <w:p>
      <w:pPr>
        <w:numPr>
          <w:ilvl w:val="1"/>
          <w:numId w:val="26"/>
        </w:numPr>
        <w:contextualSpacing/>
        <w:ind w:left="426" w:hanging="426"/>
        <w:jc w:val="both"/>
        <w:spacing w:after="0" w:line="360" w:lineRule="auto"/>
        <w:shd w:val="clear" w:color="auto" w:fill="ffffff"/>
        <w:tabs>
          <w:tab w:val="left" w:pos="284" w:leader="none"/>
          <w:tab w:val="num" w:pos="709" w:leader="none"/>
        </w:tabs>
        <w:rPr>
          <w:rFonts w:ascii="Times New Roman" w:hAnsi="Times New Roman" w:cs="Times New Roman" w:eastAsiaTheme="minorEastAsia"/>
          <w:iCs/>
          <w:sz w:val="24"/>
          <w:szCs w:val="24"/>
          <w:lang w:eastAsia="ru-RU"/>
        </w:rPr>
      </w:pPr>
      <w:r/>
      <w:hyperlink r:id="rId21" w:tooltip="http://www.restoracia.ru" w:history="1">
        <w:r>
          <w:rPr>
            <w:rFonts w:ascii="Times New Roman" w:hAnsi="Times New Roman" w:cs="Times New Roman" w:eastAsiaTheme="minorEastAsia"/>
            <w:color w:val="0000ff" w:themeColor="hyperlink"/>
            <w:sz w:val="24"/>
            <w:szCs w:val="24"/>
            <w:u w:val="single"/>
            <w:lang w:eastAsia="ru-RU"/>
          </w:rPr>
          <w:t xml:space="preserve">www.restoracia.ru</w:t>
        </w:r>
      </w:hyperlink>
      <w:r/>
      <w:r>
        <w:rPr>
          <w:rFonts w:ascii="Times New Roman" w:hAnsi="Times New Roman" w:cs="Times New Roman" w:eastAsiaTheme="minorEastAsia"/>
          <w:iCs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ind w:left="426" w:hanging="426"/>
        <w:jc w:val="both"/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Cs/>
          <w:i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3.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3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. Кадровое обеспечение образовательного процесса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ind w:firstLine="731"/>
        <w:jc w:val="both"/>
        <w:spacing w:after="0" w:line="360" w:lineRule="auto"/>
        <w:rPr>
          <w:rFonts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</w:r>
    </w:p>
    <w:p>
      <w:pPr>
        <w:ind w:firstLine="731"/>
        <w:jc w:val="both"/>
        <w:spacing w:after="0" w:line="360" w:lineRule="auto"/>
        <w:rPr>
          <w:rFonts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</w:t>
      </w:r>
      <w:r>
        <w:rPr>
          <w:rFonts w:ascii="Times New Roman" w:hAnsi="Times New Roman" w:eastAsiaTheme="minorEastAsia"/>
          <w:sz w:val="24"/>
          <w:szCs w:val="28"/>
          <w:lang w:eastAsia="ru-RU"/>
        </w:rPr>
        <w:t xml:space="preserve">Педагог профессионального обучения, профессионального образования и дополнительного профессионального образования».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</w:r>
    </w:p>
    <w:p>
      <w:pPr>
        <w:ind w:firstLine="731"/>
        <w:jc w:val="both"/>
        <w:spacing w:after="0" w:line="360" w:lineRule="auto"/>
        <w:rPr>
          <w:rFonts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не реже 1 раза в 3 года с учетом расширения спектра профессиональных компетенций.</w:t>
      </w:r>
      <w:r>
        <w:rPr>
          <w:rFonts w:eastAsiaTheme="minorEastAsia"/>
          <w:sz w:val="28"/>
          <w:szCs w:val="28"/>
          <w:lang w:eastAsia="ru-RU"/>
        </w:rPr>
      </w:r>
    </w:p>
    <w:p>
      <w:pPr>
        <w:jc w:val="both"/>
        <w:spacing w:after="0" w:line="360" w:lineRule="auto"/>
        <w:rPr>
          <w:rFonts w:eastAsiaTheme="minorEastAsia"/>
          <w:sz w:val="28"/>
          <w:szCs w:val="28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eastAsiaTheme="minorEastAsia"/>
          <w:sz w:val="28"/>
          <w:szCs w:val="28"/>
          <w:lang w:eastAsia="ru-RU"/>
        </w:rPr>
      </w:r>
      <w:r>
        <w:rPr>
          <w:rFonts w:eastAsiaTheme="minorEastAsia"/>
          <w:sz w:val="28"/>
          <w:szCs w:val="28"/>
          <w:lang w:eastAsia="ru-RU"/>
        </w:rPr>
      </w:r>
    </w:p>
    <w:p>
      <w:pPr>
        <w:numPr>
          <w:ilvl w:val="0"/>
          <w:numId w:val="3"/>
        </w:numPr>
        <w:contextualSpacing/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КОНТРОЛЬ И ОЦЕНКА РЕЗУЛЬТАТОВ ОСВОЕНИЯ УЧЕБНОЙ ДИСЦИПЛИНЫ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655"/>
        <w:gridCol w:w="4672"/>
        <w:gridCol w:w="4459"/>
      </w:tblGrid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Критерии оценки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  <w:t xml:space="preserve">Формы и методы оценки</w:t>
            </w:r>
            <w:r>
              <w:rPr>
                <w:rFonts w:ascii="Times New Roman" w:hAnsi="Times New Roman" w:cs="Times New Roman" w:eastAsiaTheme="minorEastAsia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ассортимента и характеристики основных групп продовольственных товаров;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общих требований к качеству сырья и продуктов;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условий хранения, упаковки, транспортирования и реализации различных видов продовольственных продуктов;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методов контроля качества продуктов при хранении;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способов и формы инструктирования персонала  по безопасности хранения пищевых продуктов;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видов снабжения;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видов складских помещений и требования к ним;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периодичности технического обслуживания   холодильного, механического и весового  оборудования;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методов контроля сохранности и расхода   продуктов на производствах питания;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программного обеспечения управления  расходом продуктов на производстве и   движением блюд;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современных способов обеспечения правильной  сохранности запасов и расхода продуктов на  производстве;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методов контроля возможных хищений запасов  на производстве;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правил оценки состояния запасов на  производстве;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процедур и правил инвентаризации запасов  продуктов;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правил оформления заказа на продукты со  склада и приема 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поступающих со склада и от поставщиков;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видов сопроводительной документации на  различные группы продуктов.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Полнота ответов, точность формулировок, не менее 70% правильных ответов.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Не менее 75% правильных ответов.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Актуальность темы, адекватность результатов поставленным целям, 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полнота ответов, точность формулировок, адекватность применения профессиональной терминологии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Полнота ответов, точность формулировок, не менее 70% правильных ответов.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Не менее 75% правильных ответов</w:t>
            </w:r>
            <w: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  <w:t xml:space="preserve">при пров</w:t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  <w:t xml:space="preserve">е</w:t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  <w:t xml:space="preserve">дении:</w:t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-письменного/устного опроса;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-тестирования;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в форме 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о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 зачета</w:t>
            </w:r>
            <w: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pPr>
              <w:contextualSpacing/>
              <w:ind w:firstLine="709"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оценивать условия хранения и состояние   продуктов и запасов;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проводить инструктажи по безопасности    хранения пищевых продуктов;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принимать решения по организации процессов контроля расхода и хранения продуктов;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оформлять технологическую документацию и  документацию по контролю расхода и хранения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продуктов, в том числе с использованием специализированного программного     обеспечения. 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645"/>
              <w:jc w:val="both"/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-Точность оценки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-Соответствие требованиям инструкций, регламентов 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-Рациональность действий  и т.д.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-Точность оценки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-Соответствие требованиям инструкций, регламентов 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-Рациональность действий  и т.д.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Правильное выполнение заданий в полном объеме</w:t>
            </w:r>
            <w: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 защита отчетов по практическим/ 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лабораорным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 занятиям;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i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i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Theme="minorEastAsia"/>
                <w:i/>
                <w:lang w:eastAsia="ru-RU"/>
              </w:rPr>
              <w:t xml:space="preserve">в форме зачета </w:t>
            </w:r>
            <w:r>
              <w:rPr>
                <w:rFonts w:ascii="Times New Roman" w:hAnsi="Times New Roman" w:cs="Times New Roman" w:eastAsiaTheme="minorEastAsia"/>
                <w:bCs/>
                <w:i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6838" w:h="11906" w:orient="landscape"/>
      <w:pgMar w:top="1701" w:right="113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Symbol">
    <w:panose1 w:val="05010000000000000000"/>
  </w:font>
  <w:font w:name="Wingdings">
    <w:panose1 w:val="05010000000000000000"/>
  </w:font>
  <w:font w:name="Century Schoolbook">
    <w:panose1 w:val="02060603050605020204"/>
  </w:font>
  <w:font w:name="Tahoma">
    <w:panose1 w:val="020B0506030602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781"/>
      </w:rPr>
      <w:framePr w:wrap="around" w:vAnchor="text" w:hAnchor="margin" w:xAlign="right" w:y="1"/>
    </w:pPr>
    <w:r>
      <w:rPr>
        <w:rStyle w:val="781"/>
      </w:rPr>
      <w:fldChar w:fldCharType="begin"/>
    </w:r>
    <w:r>
      <w:rPr>
        <w:rStyle w:val="781"/>
      </w:rPr>
      <w:instrText xml:space="preserve">PAGE  </w:instrText>
    </w:r>
    <w:r>
      <w:rPr>
        <w:rStyle w:val="781"/>
      </w:rPr>
      <w:fldChar w:fldCharType="end"/>
    </w:r>
    <w:r>
      <w:rPr>
        <w:rStyle w:val="781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7" w:hanging="360"/>
      </w:pPr>
      <w:rPr>
        <w:rFonts w:hint="default" w:eastAsia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1353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7" w:hanging="360"/>
      </w:pPr>
      <w:rPr>
        <w:rFonts w:hint="default" w:eastAsia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7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7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629" w:hanging="360"/>
        <w:tabs>
          <w:tab w:val="num" w:pos="262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3349" w:hanging="360"/>
        <w:tabs>
          <w:tab w:val="num" w:pos="334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4069" w:hanging="180"/>
        <w:tabs>
          <w:tab w:val="num" w:pos="406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789" w:hanging="360"/>
        <w:tabs>
          <w:tab w:val="num" w:pos="478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5509" w:hanging="360"/>
        <w:tabs>
          <w:tab w:val="num" w:pos="550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229" w:hanging="180"/>
        <w:tabs>
          <w:tab w:val="num" w:pos="622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949" w:hanging="360"/>
        <w:tabs>
          <w:tab w:val="num" w:pos="694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7669" w:hanging="360"/>
        <w:tabs>
          <w:tab w:val="num" w:pos="766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389" w:hanging="180"/>
        <w:tabs>
          <w:tab w:val="num" w:pos="8389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7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6"/>
  </w:num>
  <w:num w:numId="4">
    <w:abstractNumId w:val="14"/>
  </w:num>
  <w:num w:numId="5">
    <w:abstractNumId w:val="4"/>
  </w:num>
  <w:num w:numId="6">
    <w:abstractNumId w:val="34"/>
  </w:num>
  <w:num w:numId="7">
    <w:abstractNumId w:val="1"/>
  </w:num>
  <w:num w:numId="8">
    <w:abstractNumId w:val="37"/>
  </w:num>
  <w:num w:numId="9">
    <w:abstractNumId w:val="13"/>
  </w:num>
  <w:num w:numId="10">
    <w:abstractNumId w:val="32"/>
  </w:num>
  <w:num w:numId="11">
    <w:abstractNumId w:val="15"/>
  </w:num>
  <w:num w:numId="12">
    <w:abstractNumId w:val="40"/>
  </w:num>
  <w:num w:numId="13">
    <w:abstractNumId w:val="27"/>
  </w:num>
  <w:num w:numId="14">
    <w:abstractNumId w:val="12"/>
  </w:num>
  <w:num w:numId="15">
    <w:abstractNumId w:val="30"/>
  </w:num>
  <w:num w:numId="16">
    <w:abstractNumId w:val="0"/>
  </w:num>
  <w:num w:numId="17">
    <w:abstractNumId w:val="33"/>
  </w:num>
  <w:num w:numId="18">
    <w:abstractNumId w:val="8"/>
  </w:num>
  <w:num w:numId="19">
    <w:abstractNumId w:val="39"/>
  </w:num>
  <w:num w:numId="20">
    <w:abstractNumId w:val="5"/>
  </w:num>
  <w:num w:numId="21">
    <w:abstractNumId w:val="24"/>
  </w:num>
  <w:num w:numId="22">
    <w:abstractNumId w:val="19"/>
  </w:num>
  <w:num w:numId="23">
    <w:abstractNumId w:val="31"/>
  </w:num>
  <w:num w:numId="24">
    <w:abstractNumId w:val="2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0"/>
  </w:num>
  <w:num w:numId="28">
    <w:abstractNumId w:val="16"/>
  </w:num>
  <w:num w:numId="29">
    <w:abstractNumId w:val="17"/>
  </w:num>
  <w:num w:numId="30">
    <w:abstractNumId w:val="22"/>
  </w:num>
  <w:num w:numId="31">
    <w:abstractNumId w:val="29"/>
  </w:num>
  <w:num w:numId="32">
    <w:abstractNumId w:val="41"/>
  </w:num>
  <w:num w:numId="33">
    <w:abstractNumId w:val="21"/>
  </w:num>
  <w:num w:numId="34">
    <w:abstractNumId w:val="11"/>
  </w:num>
  <w:num w:numId="35">
    <w:abstractNumId w:val="36"/>
  </w:num>
  <w:num w:numId="36">
    <w:abstractNumId w:val="3"/>
  </w:num>
  <w:num w:numId="37">
    <w:abstractNumId w:val="28"/>
  </w:num>
  <w:num w:numId="38">
    <w:abstractNumId w:val="7"/>
  </w:num>
  <w:num w:numId="39">
    <w:abstractNumId w:val="9"/>
  </w:num>
  <w:num w:numId="40">
    <w:abstractNumId w:val="38"/>
  </w:num>
  <w:num w:numId="41">
    <w:abstractNumId w:val="35"/>
  </w:num>
  <w:num w:numId="42">
    <w:abstractNumId w:val="18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74"/>
    <w:link w:val="77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72"/>
    <w:next w:val="77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7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72"/>
    <w:next w:val="77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7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72"/>
    <w:next w:val="77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7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72"/>
    <w:next w:val="77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7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72"/>
    <w:next w:val="77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7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72"/>
    <w:next w:val="77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7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72"/>
    <w:next w:val="77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7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72"/>
    <w:next w:val="77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7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72"/>
    <w:next w:val="77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74"/>
    <w:link w:val="34"/>
    <w:uiPriority w:val="10"/>
    <w:rPr>
      <w:sz w:val="48"/>
      <w:szCs w:val="48"/>
    </w:rPr>
  </w:style>
  <w:style w:type="paragraph" w:styleId="36">
    <w:name w:val="Subtitle"/>
    <w:basedOn w:val="772"/>
    <w:next w:val="77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74"/>
    <w:link w:val="36"/>
    <w:uiPriority w:val="11"/>
    <w:rPr>
      <w:sz w:val="24"/>
      <w:szCs w:val="24"/>
    </w:rPr>
  </w:style>
  <w:style w:type="paragraph" w:styleId="38">
    <w:name w:val="Quote"/>
    <w:basedOn w:val="772"/>
    <w:next w:val="77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72"/>
    <w:next w:val="77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7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74"/>
    <w:link w:val="42"/>
    <w:uiPriority w:val="99"/>
  </w:style>
  <w:style w:type="character" w:styleId="45">
    <w:name w:val="Footer Char"/>
    <w:basedOn w:val="774"/>
    <w:link w:val="779"/>
    <w:uiPriority w:val="99"/>
  </w:style>
  <w:style w:type="paragraph" w:styleId="46">
    <w:name w:val="Caption"/>
    <w:basedOn w:val="772"/>
    <w:next w:val="7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79"/>
    <w:uiPriority w:val="99"/>
  </w:style>
  <w:style w:type="table" w:styleId="48">
    <w:name w:val="Table Grid"/>
    <w:basedOn w:val="77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82"/>
    <w:uiPriority w:val="99"/>
    <w:rPr>
      <w:sz w:val="18"/>
    </w:rPr>
  </w:style>
  <w:style w:type="paragraph" w:styleId="178">
    <w:name w:val="endnote text"/>
    <w:basedOn w:val="77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74"/>
    <w:uiPriority w:val="99"/>
    <w:semiHidden/>
    <w:unhideWhenUsed/>
    <w:rPr>
      <w:vertAlign w:val="superscript"/>
    </w:rPr>
  </w:style>
  <w:style w:type="paragraph" w:styleId="181">
    <w:name w:val="toc 1"/>
    <w:basedOn w:val="772"/>
    <w:next w:val="77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72"/>
    <w:next w:val="77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72"/>
    <w:next w:val="77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72"/>
    <w:next w:val="77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72"/>
    <w:next w:val="77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72"/>
    <w:next w:val="77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72"/>
    <w:next w:val="77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72"/>
    <w:next w:val="77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72"/>
    <w:next w:val="77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72"/>
    <w:next w:val="772"/>
    <w:uiPriority w:val="99"/>
    <w:unhideWhenUsed/>
    <w:pPr>
      <w:spacing w:after="0" w:afterAutospacing="0"/>
    </w:pPr>
  </w:style>
  <w:style w:type="paragraph" w:styleId="772" w:default="1">
    <w:name w:val="Normal"/>
    <w:qFormat/>
  </w:style>
  <w:style w:type="paragraph" w:styleId="773">
    <w:name w:val="Heading 1"/>
    <w:basedOn w:val="772"/>
    <w:next w:val="772"/>
    <w:link w:val="777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774" w:default="1">
    <w:name w:val="Default Paragraph Font"/>
    <w:uiPriority w:val="1"/>
    <w:unhideWhenUsed/>
  </w:style>
  <w:style w:type="table" w:styleId="7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6" w:default="1">
    <w:name w:val="No List"/>
    <w:uiPriority w:val="99"/>
    <w:semiHidden/>
    <w:unhideWhenUsed/>
  </w:style>
  <w:style w:type="character" w:styleId="777" w:customStyle="1">
    <w:name w:val="Заголовок 1 Знак"/>
    <w:basedOn w:val="774"/>
    <w:link w:val="773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numbering" w:styleId="778" w:customStyle="1">
    <w:name w:val="Нет списка1"/>
    <w:next w:val="776"/>
    <w:uiPriority w:val="99"/>
    <w:semiHidden/>
    <w:unhideWhenUsed/>
  </w:style>
  <w:style w:type="paragraph" w:styleId="779">
    <w:name w:val="Footer"/>
    <w:basedOn w:val="772"/>
    <w:link w:val="780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0" w:customStyle="1">
    <w:name w:val="Нижний колонтитул Знак"/>
    <w:basedOn w:val="774"/>
    <w:link w:val="77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1">
    <w:name w:val="page number"/>
    <w:basedOn w:val="774"/>
  </w:style>
  <w:style w:type="paragraph" w:styleId="782">
    <w:name w:val="footnote text"/>
    <w:basedOn w:val="772"/>
    <w:link w:val="78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783" w:customStyle="1">
    <w:name w:val="Текст сноски Знак"/>
    <w:basedOn w:val="774"/>
    <w:link w:val="782"/>
    <w:uiPriority w:val="99"/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784">
    <w:name w:val="footnote reference"/>
    <w:uiPriority w:val="99"/>
    <w:rPr>
      <w:vertAlign w:val="superscript"/>
    </w:rPr>
  </w:style>
  <w:style w:type="paragraph" w:styleId="785">
    <w:name w:val="Balloon Text"/>
    <w:basedOn w:val="772"/>
    <w:link w:val="786"/>
    <w:uiPriority w:val="99"/>
    <w:semiHidden/>
    <w:unhideWhenUsed/>
    <w:pPr>
      <w:spacing w:after="0" w:line="240" w:lineRule="auto"/>
    </w:pPr>
    <w:rPr>
      <w:rFonts w:ascii="Tahoma" w:hAnsi="Tahoma" w:cs="Tahoma" w:eastAsiaTheme="minorEastAsia"/>
      <w:sz w:val="16"/>
      <w:szCs w:val="16"/>
      <w:lang w:eastAsia="ru-RU"/>
    </w:rPr>
  </w:style>
  <w:style w:type="character" w:styleId="786" w:customStyle="1">
    <w:name w:val="Текст выноски Знак"/>
    <w:basedOn w:val="774"/>
    <w:link w:val="785"/>
    <w:uiPriority w:val="99"/>
    <w:semiHidden/>
    <w:rPr>
      <w:rFonts w:ascii="Tahoma" w:hAnsi="Tahoma" w:cs="Tahoma" w:eastAsiaTheme="minorEastAsia"/>
      <w:sz w:val="16"/>
      <w:szCs w:val="16"/>
      <w:lang w:eastAsia="ru-RU"/>
    </w:rPr>
  </w:style>
  <w:style w:type="character" w:styleId="787">
    <w:name w:val="Hyperlink"/>
    <w:basedOn w:val="774"/>
    <w:uiPriority w:val="99"/>
    <w:unhideWhenUsed/>
    <w:rPr>
      <w:color w:val="0000ff" w:themeColor="hyperlink"/>
      <w:u w:val="single"/>
    </w:rPr>
  </w:style>
  <w:style w:type="paragraph" w:styleId="788">
    <w:name w:val="List Paragraph"/>
    <w:basedOn w:val="772"/>
    <w:uiPriority w:val="34"/>
    <w:qFormat/>
    <w:pPr>
      <w:contextualSpacing/>
      <w:ind w:left="720"/>
    </w:pPr>
    <w:rPr>
      <w:rFonts w:eastAsiaTheme="minorEastAsia"/>
      <w:lang w:eastAsia="ru-RU"/>
    </w:rPr>
  </w:style>
  <w:style w:type="character" w:styleId="789" w:customStyle="1">
    <w:name w:val="Font Style121"/>
    <w:basedOn w:val="774"/>
    <w:uiPriority w:val="99"/>
    <w:rPr>
      <w:rFonts w:ascii="Century Schoolbook" w:hAnsi="Century Schoolbook" w:cs="Century Schoolbook"/>
      <w:sz w:val="20"/>
      <w:szCs w:val="20"/>
    </w:rPr>
  </w:style>
  <w:style w:type="paragraph" w:styleId="790">
    <w:name w:val="Body Text"/>
    <w:basedOn w:val="772"/>
    <w:link w:val="791"/>
    <w:uiPriority w:val="99"/>
    <w:unhideWhenUsed/>
    <w:pPr>
      <w:spacing w:after="120"/>
    </w:pPr>
    <w:rPr>
      <w:rFonts w:eastAsiaTheme="minorEastAsia"/>
      <w:lang w:eastAsia="ru-RU"/>
    </w:rPr>
  </w:style>
  <w:style w:type="character" w:styleId="791" w:customStyle="1">
    <w:name w:val="Основной текст Знак"/>
    <w:basedOn w:val="774"/>
    <w:link w:val="790"/>
    <w:uiPriority w:val="99"/>
    <w:rPr>
      <w:rFonts w:eastAsiaTheme="minorEastAsia"/>
      <w:lang w:eastAsia="ru-RU"/>
    </w:rPr>
  </w:style>
  <w:style w:type="paragraph" w:styleId="792">
    <w:name w:val="No Spacing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93" w:customStyle="1">
    <w:name w:val="b-serp-url__item1"/>
    <w:basedOn w:val="774"/>
  </w:style>
  <w:style w:type="paragraph" w:styleId="794" w:customStyle="1">
    <w:name w:val="Default"/>
    <w:pPr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eastAsia="ru-RU"/>
    </w:rPr>
  </w:style>
  <w:style w:type="paragraph" w:styleId="795" w:customStyle="1">
    <w:name w:val="s_1"/>
    <w:basedOn w:val="77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ohranatruda.ru/ot_biblio/normativ/data_normativ/46/46201/" TargetMode="External"/><Relationship Id="rId15" Type="http://schemas.openxmlformats.org/officeDocument/2006/relationships/hyperlink" Target="http://www.ohranatruda.ru/ot_biblio/normativ/data_normativ/46/46201/" TargetMode="External"/><Relationship Id="rId16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hyperlink" Target="http://www.foodprom.ru/journalswww" TargetMode="External"/><Relationship Id="rId18" Type="http://schemas.openxmlformats.org/officeDocument/2006/relationships/hyperlink" Target="http://zaita.ru/kachestvo/tovarovedenie-i-ekspertiza-kachestva-potrebitelskix-tovarov.html" TargetMode="External"/><Relationship Id="rId19" Type="http://schemas.openxmlformats.org/officeDocument/2006/relationships/hyperlink" Target="http://www.restoracia.ru" TargetMode="External"/><Relationship Id="rId20" Type="http://schemas.openxmlformats.org/officeDocument/2006/relationships/hyperlink" Target="http://www.tehdoc.ru/files.675.html" TargetMode="External"/><Relationship Id="rId21" Type="http://schemas.openxmlformats.org/officeDocument/2006/relationships/hyperlink" Target="http://www.restoracia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95</cp:revision>
  <dcterms:created xsi:type="dcterms:W3CDTF">2021-06-29T08:32:00Z</dcterms:created>
  <dcterms:modified xsi:type="dcterms:W3CDTF">2025-09-08T05:01:39Z</dcterms:modified>
</cp:coreProperties>
</file>